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ASMENS DUOMENŲ TVARKYMO SUTARTIS SU TVARKYTOJU</w:t>
      </w:r>
    </w:p>
    <w:p w:rsidR="00000000" w:rsidDel="00000000" w:rsidP="00000000" w:rsidRDefault="00000000" w:rsidRPr="00000000" w14:paraId="00000002">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color w:val="000000"/>
          <w:sz w:val="24"/>
          <w:szCs w:val="24"/>
          <w:rtl w:val="0"/>
        </w:rPr>
        <w:t xml:space="preserve"> 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d. Nr. SR-</w:t>
      </w:r>
    </w:p>
    <w:p w:rsidR="00000000" w:rsidDel="00000000" w:rsidP="00000000" w:rsidRDefault="00000000" w:rsidRPr="00000000" w14:paraId="00000004">
      <w:pPr>
        <w:pageBreakBefore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Vilnius</w:t>
      </w:r>
      <w:r w:rsidDel="00000000" w:rsidR="00000000" w:rsidRPr="00000000">
        <w:rPr>
          <w:rFonts w:ascii="Times New Roman" w:cs="Times New Roman" w:eastAsia="Times New Roman" w:hAnsi="Times New Roman"/>
          <w:b w:val="1"/>
          <w:color w:val="000000"/>
          <w:sz w:val="24"/>
          <w:szCs w:val="24"/>
          <w:rtl w:val="0"/>
        </w:rPr>
        <w:br w:type="textWrapping"/>
      </w:r>
    </w:p>
    <w:p w:rsidR="00000000" w:rsidDel="00000000" w:rsidP="00000000" w:rsidRDefault="00000000" w:rsidRPr="00000000" w14:paraId="00000005">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Vilniaus Antakalnio progimnazija</w:t>
      </w:r>
      <w:r w:rsidDel="00000000" w:rsidR="00000000" w:rsidRPr="00000000">
        <w:rPr>
          <w:rFonts w:ascii="Times New Roman" w:cs="Times New Roman" w:eastAsia="Times New Roman" w:hAnsi="Times New Roman"/>
          <w:sz w:val="24"/>
          <w:szCs w:val="24"/>
          <w:rtl w:val="0"/>
        </w:rPr>
        <w:t xml:space="preserve">, juridinio asmens kodas 302818006, adresas - Antakalnio g. 33, LT-10312 Vilnius, elektroninio pašto adresas - </w:t>
      </w:r>
      <w:hyperlink r:id="rId6">
        <w:r w:rsidDel="00000000" w:rsidR="00000000" w:rsidRPr="00000000">
          <w:rPr>
            <w:rFonts w:ascii="Times New Roman" w:cs="Times New Roman" w:eastAsia="Times New Roman" w:hAnsi="Times New Roman"/>
            <w:color w:val="1155cc"/>
            <w:sz w:val="24"/>
            <w:szCs w:val="24"/>
            <w:u w:val="single"/>
            <w:rtl w:val="0"/>
          </w:rPr>
          <w:t xml:space="preserve">rastine@antakalnio.lt</w:t>
        </w:r>
      </w:hyperlink>
      <w:r w:rsidDel="00000000" w:rsidR="00000000" w:rsidRPr="00000000">
        <w:rPr>
          <w:rFonts w:ascii="Times New Roman" w:cs="Times New Roman" w:eastAsia="Times New Roman" w:hAnsi="Times New Roman"/>
          <w:sz w:val="24"/>
          <w:szCs w:val="24"/>
          <w:rtl w:val="0"/>
        </w:rPr>
        <w:t xml:space="preserve"> ar </w:t>
      </w:r>
      <w:hyperlink r:id="rId7">
        <w:r w:rsidDel="00000000" w:rsidR="00000000" w:rsidRPr="00000000">
          <w:rPr>
            <w:rFonts w:ascii="Times New Roman" w:cs="Times New Roman" w:eastAsia="Times New Roman" w:hAnsi="Times New Roman"/>
            <w:color w:val="1155cc"/>
            <w:sz w:val="24"/>
            <w:szCs w:val="24"/>
            <w:u w:val="single"/>
            <w:rtl w:val="0"/>
          </w:rPr>
          <w:t xml:space="preserve">ada@antakalnio.lt</w:t>
        </w:r>
      </w:hyperlink>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(toliau – </w:t>
      </w:r>
      <w:r w:rsidDel="00000000" w:rsidR="00000000" w:rsidRPr="00000000">
        <w:rPr>
          <w:rFonts w:ascii="Times New Roman" w:cs="Times New Roman" w:eastAsia="Times New Roman" w:hAnsi="Times New Roman"/>
          <w:i w:val="1"/>
          <w:color w:val="000000"/>
          <w:sz w:val="24"/>
          <w:szCs w:val="24"/>
          <w:rtl w:val="0"/>
        </w:rPr>
        <w:t xml:space="preserve">Duomenų valdytojas</w:t>
      </w:r>
      <w:r w:rsidDel="00000000" w:rsidR="00000000" w:rsidRPr="00000000">
        <w:rPr>
          <w:rFonts w:ascii="Times New Roman" w:cs="Times New Roman" w:eastAsia="Times New Roman" w:hAnsi="Times New Roman"/>
          <w:color w:val="000000"/>
          <w:sz w:val="24"/>
          <w:szCs w:val="24"/>
          <w:rtl w:val="0"/>
        </w:rPr>
        <w:t xml:space="preserve"> arba </w:t>
      </w:r>
      <w:r w:rsidDel="00000000" w:rsidR="00000000" w:rsidRPr="00000000">
        <w:rPr>
          <w:rFonts w:ascii="Times New Roman" w:cs="Times New Roman" w:eastAsia="Times New Roman" w:hAnsi="Times New Roman"/>
          <w:i w:val="1"/>
          <w:color w:val="000000"/>
          <w:sz w:val="24"/>
          <w:szCs w:val="24"/>
          <w:rtl w:val="0"/>
        </w:rPr>
        <w:t xml:space="preserve">Klientas</w:t>
      </w:r>
      <w:r w:rsidDel="00000000" w:rsidR="00000000" w:rsidRPr="00000000">
        <w:rPr>
          <w:rFonts w:ascii="Times New Roman" w:cs="Times New Roman" w:eastAsia="Times New Roman" w:hAnsi="Times New Roman"/>
          <w:color w:val="000000"/>
          <w:sz w:val="24"/>
          <w:szCs w:val="24"/>
          <w:rtl w:val="0"/>
        </w:rPr>
        <w:t xml:space="preserve">) ir</w:t>
      </w:r>
    </w:p>
    <w:p w:rsidR="00000000" w:rsidDel="00000000" w:rsidP="00000000" w:rsidRDefault="00000000" w:rsidRPr="00000000" w14:paraId="00000006">
      <w:pPr>
        <w:pageBreakBefore w:val="0"/>
        <w:spacing w:after="0" w:line="240" w:lineRule="auto"/>
        <w:jc w:val="both"/>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000000"/>
          <w:sz w:val="24"/>
          <w:szCs w:val="24"/>
          <w:highlight w:val="yellow"/>
          <w:rtl w:val="0"/>
        </w:rPr>
        <w:t xml:space="preserve">UAB „X“</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color w:val="000000"/>
          <w:sz w:val="24"/>
          <w:szCs w:val="24"/>
          <w:rtl w:val="0"/>
        </w:rPr>
        <w:t xml:space="preserve"> juridinio asmens kodas: </w:t>
      </w:r>
      <w:r w:rsidDel="00000000" w:rsidR="00000000" w:rsidRPr="00000000">
        <w:rPr>
          <w:rFonts w:ascii="Times New Roman" w:cs="Times New Roman" w:eastAsia="Times New Roman" w:hAnsi="Times New Roman"/>
          <w:color w:val="000000"/>
          <w:sz w:val="24"/>
          <w:szCs w:val="24"/>
          <w:highlight w:val="yellow"/>
          <w:rtl w:val="0"/>
        </w:rPr>
        <w:t xml:space="preserve">____________________</w:t>
      </w:r>
      <w:r w:rsidDel="00000000" w:rsidR="00000000" w:rsidRPr="00000000">
        <w:rPr>
          <w:rFonts w:ascii="Times New Roman" w:cs="Times New Roman" w:eastAsia="Times New Roman" w:hAnsi="Times New Roman"/>
          <w:color w:val="000000"/>
          <w:sz w:val="24"/>
          <w:szCs w:val="24"/>
          <w:rtl w:val="0"/>
        </w:rPr>
        <w:t xml:space="preserve">, adresas: </w:t>
      </w:r>
      <w:r w:rsidDel="00000000" w:rsidR="00000000" w:rsidRPr="00000000">
        <w:rPr>
          <w:rFonts w:ascii="Times New Roman" w:cs="Times New Roman" w:eastAsia="Times New Roman" w:hAnsi="Times New Roman"/>
          <w:color w:val="000000"/>
          <w:sz w:val="24"/>
          <w:szCs w:val="24"/>
          <w:highlight w:val="yellow"/>
          <w:rtl w:val="0"/>
        </w:rPr>
        <w:t xml:space="preserve">_____________________</w:t>
      </w:r>
      <w:r w:rsidDel="00000000" w:rsidR="00000000" w:rsidRPr="00000000">
        <w:rPr>
          <w:rFonts w:ascii="Times New Roman" w:cs="Times New Roman" w:eastAsia="Times New Roman" w:hAnsi="Times New Roman"/>
          <w:color w:val="000000"/>
          <w:sz w:val="24"/>
          <w:szCs w:val="24"/>
          <w:rtl w:val="0"/>
        </w:rPr>
        <w:t xml:space="preserve"> (toliau – </w:t>
      </w:r>
      <w:r w:rsidDel="00000000" w:rsidR="00000000" w:rsidRPr="00000000">
        <w:rPr>
          <w:rFonts w:ascii="Times New Roman" w:cs="Times New Roman" w:eastAsia="Times New Roman" w:hAnsi="Times New Roman"/>
          <w:i w:val="1"/>
          <w:color w:val="000000"/>
          <w:sz w:val="24"/>
          <w:szCs w:val="24"/>
          <w:rtl w:val="0"/>
        </w:rPr>
        <w:t xml:space="preserve">Duomenų tvarkytojas</w:t>
      </w:r>
      <w:r w:rsidDel="00000000" w:rsidR="00000000" w:rsidRPr="00000000">
        <w:rPr>
          <w:rFonts w:ascii="Times New Roman" w:cs="Times New Roman" w:eastAsia="Times New Roman" w:hAnsi="Times New Roman"/>
          <w:color w:val="000000"/>
          <w:sz w:val="24"/>
          <w:szCs w:val="24"/>
          <w:rtl w:val="0"/>
        </w:rPr>
        <w:t xml:space="preserve"> arba </w:t>
      </w:r>
      <w:r w:rsidDel="00000000" w:rsidR="00000000" w:rsidRPr="00000000">
        <w:rPr>
          <w:rFonts w:ascii="Times New Roman" w:cs="Times New Roman" w:eastAsia="Times New Roman" w:hAnsi="Times New Roman"/>
          <w:i w:val="1"/>
          <w:color w:val="000000"/>
          <w:sz w:val="24"/>
          <w:szCs w:val="24"/>
          <w:rtl w:val="0"/>
        </w:rPr>
        <w:t xml:space="preserve">Paslaugų teikėjas</w:t>
      </w:r>
      <w:r w:rsidDel="00000000" w:rsidR="00000000" w:rsidRPr="00000000">
        <w:rPr>
          <w:rFonts w:ascii="Times New Roman" w:cs="Times New Roman" w:eastAsia="Times New Roman" w:hAnsi="Times New Roman"/>
          <w:color w:val="000000"/>
          <w:sz w:val="24"/>
          <w:szCs w:val="24"/>
          <w:rtl w:val="0"/>
        </w:rPr>
        <w:t xml:space="preserve">), toliau kartu – </w:t>
      </w:r>
      <w:r w:rsidDel="00000000" w:rsidR="00000000" w:rsidRPr="00000000">
        <w:rPr>
          <w:rFonts w:ascii="Times New Roman" w:cs="Times New Roman" w:eastAsia="Times New Roman" w:hAnsi="Times New Roman"/>
          <w:i w:val="1"/>
          <w:color w:val="000000"/>
          <w:sz w:val="24"/>
          <w:szCs w:val="24"/>
          <w:rtl w:val="0"/>
        </w:rPr>
        <w:t xml:space="preserve">Šalys</w:t>
      </w:r>
      <w:r w:rsidDel="00000000" w:rsidR="00000000" w:rsidRPr="00000000">
        <w:rPr>
          <w:rFonts w:ascii="Times New Roman" w:cs="Times New Roman" w:eastAsia="Times New Roman" w:hAnsi="Times New Roman"/>
          <w:color w:val="000000"/>
          <w:sz w:val="24"/>
          <w:szCs w:val="24"/>
          <w:rtl w:val="0"/>
        </w:rPr>
        <w:t xml:space="preserve"> , o kiekvienas atskirai – </w:t>
      </w:r>
      <w:r w:rsidDel="00000000" w:rsidR="00000000" w:rsidRPr="00000000">
        <w:rPr>
          <w:rFonts w:ascii="Times New Roman" w:cs="Times New Roman" w:eastAsia="Times New Roman" w:hAnsi="Times New Roman"/>
          <w:i w:val="1"/>
          <w:color w:val="000000"/>
          <w:sz w:val="24"/>
          <w:szCs w:val="24"/>
          <w:rtl w:val="0"/>
        </w:rPr>
        <w:t xml:space="preserve">Šalis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7">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vadovaudamosi Lietuvos Respublikos asmens duomenų teisinės apsaugos įstatymu  (toliau – </w:t>
      </w:r>
      <w:r w:rsidDel="00000000" w:rsidR="00000000" w:rsidRPr="00000000">
        <w:rPr>
          <w:rFonts w:ascii="Times New Roman" w:cs="Times New Roman" w:eastAsia="Times New Roman" w:hAnsi="Times New Roman"/>
          <w:i w:val="1"/>
          <w:color w:val="000000"/>
          <w:sz w:val="24"/>
          <w:szCs w:val="24"/>
          <w:rtl w:val="0"/>
        </w:rPr>
        <w:t xml:space="preserve">ADTAĮ</w:t>
      </w:r>
      <w:r w:rsidDel="00000000" w:rsidR="00000000" w:rsidRPr="00000000">
        <w:rPr>
          <w:rFonts w:ascii="Times New Roman" w:cs="Times New Roman" w:eastAsia="Times New Roman" w:hAnsi="Times New Roman"/>
          <w:color w:val="000000"/>
          <w:sz w:val="24"/>
          <w:szCs w:val="24"/>
          <w:rtl w:val="0"/>
        </w:rPr>
        <w:t xml:space="preserve">), Bendruoju duomenų apsaugos reglamentu ir kitas su duomenų apsauga susijusiais teisės aktais, </w:t>
      </w:r>
    </w:p>
    <w:p w:rsidR="00000000" w:rsidDel="00000000" w:rsidP="00000000" w:rsidRDefault="00000000" w:rsidRPr="00000000" w14:paraId="00000008">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sudarė šią Asmens duomenų tvarkymo sutartį, toliau – </w:t>
      </w:r>
      <w:r w:rsidDel="00000000" w:rsidR="00000000" w:rsidRPr="00000000">
        <w:rPr>
          <w:rFonts w:ascii="Times New Roman" w:cs="Times New Roman" w:eastAsia="Times New Roman" w:hAnsi="Times New Roman"/>
          <w:i w:val="1"/>
          <w:color w:val="000000"/>
          <w:sz w:val="24"/>
          <w:szCs w:val="24"/>
          <w:rtl w:val="0"/>
        </w:rPr>
        <w:t xml:space="preserve">Sutartis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9">
      <w:pPr>
        <w:pageBreakBefore w:val="0"/>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5"/>
        </w:tabs>
        <w:spacing w:after="0" w:before="0" w:line="240" w:lineRule="auto"/>
        <w:ind w:left="1080" w:right="0" w:hanging="72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PAGRINDINĖS SĄVOKOS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5"/>
        </w:tabs>
        <w:spacing w:after="0" w:before="0" w:line="240" w:lineRule="auto"/>
        <w:ind w:left="1080" w:right="0" w:hanging="72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5"/>
        </w:tabs>
        <w:spacing w:after="0" w:before="0" w:line="240" w:lineRule="auto"/>
        <w:ind w:left="720" w:right="0" w:hanging="360"/>
        <w:jc w:val="both"/>
        <w:rPr>
          <w:rFonts w:ascii="Palatino Linotype" w:cs="Palatino Linotype" w:eastAsia="Palatino Linotype" w:hAnsi="Palatino Linotype"/>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Duomenų valdytojas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aukščiau šioje Sutartyje įvardinta Šalis, kuri viena arba drauge su kitais nustato Duomenų tvarkymo tikslus ir priemones.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5"/>
        </w:tabs>
        <w:spacing w:after="0" w:before="0" w:line="240" w:lineRule="auto"/>
        <w:ind w:left="720" w:right="0" w:hanging="360"/>
        <w:jc w:val="both"/>
        <w:rPr>
          <w:rFonts w:ascii="Palatino Linotype" w:cs="Palatino Linotype" w:eastAsia="Palatino Linotype" w:hAnsi="Palatino Linotype"/>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Duomenų tvarkytojas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aukščiau šioje Sutartyje įvardinta Šalis, kuri Duomenų valdytojo yra įgaliota tvarkyti Duomenis šioje Sutartyje nustatyta apimtimi.</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5"/>
        </w:tabs>
        <w:spacing w:after="0" w:before="0" w:line="240" w:lineRule="auto"/>
        <w:ind w:left="720" w:right="0" w:hanging="360"/>
        <w:jc w:val="both"/>
        <w:rPr>
          <w:rFonts w:ascii="Palatino Linotype" w:cs="Palatino Linotype" w:eastAsia="Palatino Linotype" w:hAnsi="Palatino Linotype"/>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Asmens duomenys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Duomenimis, tvarkomais ir saugomais pagal šią Sutartį, yra laikoma bet kokia informacija (asmens duomenys) susijusi su fiziniu asmeniu, kurio asmens tapatybė yra nustatyta arba gali būti nustatyta (taigi, duomenų subjektu), kai toks nustatymas gali būti atliekamas tiesiogiai ar netiesiogiai, ypač remiantis tokiu identifikatoriumi kaip vardas, asmens indentifikavimo numeris, buvimo vietos duomenys, interneto identifikatorius, arba vienas ar keli to fizinio asmens fizinės, fiziologinės, genetinės, psichinės, ekonominės, kultūrinės ar socialinės tapatybės požymiai arba bet kokie kiti atskirai arba kartu bet kokiu būdu naudojami faktoriai.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5"/>
        </w:tabs>
        <w:spacing w:after="0" w:before="0" w:line="240" w:lineRule="auto"/>
        <w:ind w:left="720" w:right="0" w:hanging="360"/>
        <w:jc w:val="both"/>
        <w:rPr>
          <w:rFonts w:ascii="Palatino Linotype" w:cs="Palatino Linotype" w:eastAsia="Palatino Linotype" w:hAnsi="Palatino Linotype"/>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Duomenų tvarkymas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suprantamas kaip bet kokia operacija arba operacijų seka, kuri yra atliekama su asmens duomenimis automatizuotomis arba neautomatizuotomis priemonėmis; tokios operacijos gali apimti rinkimą, įrašymą, rūšiavimą, sisteminimą, saugojimą, adaptavimą ar keitimą, išgavimą, susipažinimą, naudojimą, atskleidimą persiunčiant, platinimą ar bet kokias kitas operacijas su duomenimis.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Duomenų subjektas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fizinis asmuo, kurio asmens duomenys yra tvarkomi.</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Reglamentas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Europos Parlamento ir Tarybos reglamentas (ES) 2016/679 dėl fizinių asmenų apsaugos tvarkant asmens duomenis ir dėl laisvo tokių duomenų judėjimo ir kuriuo panaikinama Direktyva 95/46/EB (Bendrasis duomenų apsaugos reglamentas).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5"/>
        </w:tabs>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Kitos šioje Sutartyje naudojamos sąvokos atitinka Reglamente pateiktas sąvokas. </w:t>
      </w:r>
    </w:p>
    <w:p w:rsidR="00000000" w:rsidDel="00000000" w:rsidP="00000000" w:rsidRDefault="00000000" w:rsidRPr="00000000" w14:paraId="00000013">
      <w:pPr>
        <w:pageBreakBefore w:val="0"/>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SUTARTIES OBJEKTAS</w:t>
      </w:r>
    </w:p>
    <w:p w:rsidR="00000000" w:rsidDel="00000000" w:rsidP="00000000" w:rsidRDefault="00000000" w:rsidRPr="00000000" w14:paraId="00000015">
      <w:pPr>
        <w:pageBreakBefore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Ši Sutartis reguliuoja asmens duomenų tvarkymą, kurį vykdo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UAB „X“</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veikianti kaip Duomenų tvarkytojas, Duomenų valdytojo vardu.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tvarkytojas suteikia duomenų valdytojui [</w:t>
      </w:r>
      <w:r w:rsidDel="00000000" w:rsidR="00000000" w:rsidRPr="00000000">
        <w:rPr>
          <w:rFonts w:ascii="Times New Roman" w:cs="Times New Roman" w:eastAsia="Times New Roman" w:hAnsi="Times New Roman"/>
          <w:i w:val="1"/>
          <w:smallCaps w:val="0"/>
          <w:strike w:val="0"/>
          <w:color w:val="000000"/>
          <w:sz w:val="24"/>
          <w:szCs w:val="24"/>
          <w:highlight w:val="yellow"/>
          <w:u w:val="none"/>
          <w:vertAlign w:val="baseline"/>
          <w:rtl w:val="0"/>
        </w:rPr>
        <w:t xml:space="preserve">nurodyti, kokias konkrečias paslaugas teikia įmonė švietimo įstaigai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paslaugas pagal [</w:t>
      </w:r>
      <w:r w:rsidDel="00000000" w:rsidR="00000000" w:rsidRPr="00000000">
        <w:rPr>
          <w:rFonts w:ascii="Times New Roman" w:cs="Times New Roman" w:eastAsia="Times New Roman" w:hAnsi="Times New Roman"/>
          <w:i w:val="1"/>
          <w:smallCaps w:val="0"/>
          <w:strike w:val="0"/>
          <w:color w:val="000000"/>
          <w:sz w:val="24"/>
          <w:szCs w:val="24"/>
          <w:highlight w:val="yellow"/>
          <w:u w:val="none"/>
          <w:vertAlign w:val="baseline"/>
          <w:rtl w:val="0"/>
        </w:rPr>
        <w:t xml:space="preserve">nurodyti tikslų sutarties pavadinimą</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sutartį Nr.: </w:t>
      </w:r>
      <w:r w:rsidDel="00000000" w:rsidR="00000000" w:rsidRPr="00000000">
        <w:rPr>
          <w:rFonts w:ascii="Times New Roman" w:cs="Times New Roman" w:eastAsia="Times New Roman" w:hAnsi="Times New Roman"/>
          <w:i w:val="0"/>
          <w:smallCaps w:val="0"/>
          <w:strike w:val="0"/>
          <w:color w:val="000000"/>
          <w:sz w:val="24"/>
          <w:szCs w:val="24"/>
          <w:highlight w:val="yellow"/>
          <w:u w:val="none"/>
          <w:vertAlign w:val="baseline"/>
          <w:rtl w:val="0"/>
        </w:rPr>
        <w:t xml:space="preserve">________</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Ši Asmens duomenų tvarkymo sutartis yra neatsiejama bendrosios sutarties dalis ir yra privaloma Duomenų tvarkytojui ir Duomenų valdytojui pagal Bendrąjį duomenų apsaugos reglamentą.</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Šioje sutartyje nurodyti Šalių įsipareigojimai ir atsakomybė tvarkant asmens duomenis, susijusius su paslaugomis, kurias duomenų tvarkytojas teikia duomenų valdytojui.  Sutarties tikslas - užtikrinti asmens duomenų, kuriuos duomenų valdytojas perduoda duomenų tvarkytojui pagal sutartinius santykius, apsaugą ir saugumą.</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Asmens duomenų tvarkymo – kurį atlieka Duomenų tvarkytojas Duomenų valdytojo vardu – pobūdis, dalykas ir tikslas, taip pat informacija, susijusi su tvarkomų asmens duomenų rūšimi bei duomenų subjektų kategorijomis, yra nurodyti šios Sutarties Priede Nr.  1.</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Ši Sutartis taikoma tol, kol Duomenų tvarkytojas tvarko asmens duomenis Duomenų valdytojo vardu.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 šios sutarties nutraukimo ar pasibaigimo Duomenų tvarkytojas privalo nutraukti savo vykdomą duomenų tvarkymo veiklą, ir jei taip pageidauja Duomenų valdytojas ir, jei kitaip nenumato taikomi duomenų apsaugos teisės aktai, turi ištrinti arba grąžinti visus asmens duomenis Duomenų valdytojui, kartu ištrinant visas turimas tokių duomenų kopijas.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ASMENINIŲ DUOMENŲ TVARKYMO REIKALAVIMAI IR ŠALIŲ ĮSIPAREIGOJIMAI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Šalys įsipareigoja tvarkyti asmens duomenis pagal taikomus duomenų apsaugos teisės aktus.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valdytojas patvirtina, kad: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asmens duomenų tvarkymas, kurį atlieka duomenų valdytojas, yra teisėtas pagal galiojančius duomenų apsaugos teisės aktus;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valdytojas įgalioja duomenų tvarkytoją tvarkyti asmens duomenis Duomenų valdytojo vardu pagal sutartinius santykius, nurodytus Sutarties 9 punkte.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valdytojas privalo:</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užtikrinti, kad asmens duomenų tvarkymas visiškai atitiktų reikalavimus, nustatytus taikytinuose duomenų apsaugos teisės aktuose;</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tvarkyti asmens duomenis tik siekdamas teisėtų tikslų;</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nustatyti organizacines, fizines ir technines saugumo priemones, atitinkančias taikomų duomenų apsaugos teisės aktų reikalavimus  asmens duomenų apsaugai;</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supažindinti duomenų tvarkytoją su duomenų valdytojo asmens duomenų apsaugą reglamentuojančių vidinių dokumentų reikalavimais ir jų pakeitimais.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valdytojas turi teisę:</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turi teisę prižiūrėti duomenų tvarkytojo veiklą tvarkant asmens duomenis;</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reguliariai tikrinti, ar duomenų tvarkytojas tvarko asmens duomenis pagal taikomus duomenų apsaugos teisės aktus, taip pat pagal duomenų valdytojo asmens duomenų apsaugą reglamentuojančių vidinių dokumentų reikalavimus. Duomenų tvarkytojas įsipareigoja pateikti dokumentus ir paaiškinimus, įrodančius atitiktį taikomiems teisės aktams.  </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atlikti asmens duomenų tvarkymo auditą.</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tvarkytojas privalo:</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laikytis taikomuose duomenų apsaugos teisės aktuose ir  duomenų valdytojo asmens duomenų apsaugą reglamentuojančiuose vidiniuose dokumentuose nustatytų reikalavimų, įskaitant, bet neapsiribojant tiesioginių reikalavimų pačiam duomenų tvarkytojui;</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užtikrinti asmens duomenų tvarkymą pagal taikomus duomenų apsaugos teisės aktus;</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užtikrinti tinkamą duomenų subjektų teisių apsaugą pagal taikomus duomenų apsaugos teisės aktus;</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taikyti tokias organizacines, fizines ir technines saugumo priemones, kurios atitiktų taikomų duomenų apsaugos teisės aktų reikalavimus;  </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atsakyti į duomenų valdytojo paklausimus ir pateikti visą prašomą reikalingą informaciją (dokumentus ir paaiškinimus) per 10 dienų nuo atitinkamo paklausimo gavimo be papildomo mokesčio ir suteikti reikalingą pagalbą, kad duomenų valdytojas atitiktų taikomų duomenų apsaugos teisės aktų reikalavimus ir galėtų įrodyti atitiktį asmens duomenų apsaugai keliamus reikalavimus;</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iš duomenų valdytojo sužinotus ir/ar gautus asmens duomenis laikyti konfidencialiais ir imtis visų veiksmų (ar susilaikyti nuo jų) siekiant išsaugoti tokių asmens duomenų konfidencialumą ir saugumą, ir be išankstinio rašytinio duomenų valdytojo sutikimo tiesiogiai ar netiesiogiai, žodžiu, raštu, bet kokiomis komunikacijos priemonėmis ar informacijos laikmenomis neatskleisti, neperduoti ar kitu būdu neperleisti tokių asmens duomenų jokiems tretiesiems asmenims;</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atskleidęs konfidencialius asmens duomenis tretiesiems asmenims, duomenų tvarkytojas prisiima visas išlaidas, atsirandančias dėl aukščiau minėtų veiksmų, skirtų ištaisyti pasekmėms, atsiradusioms dėl asmens duomenų atskleidimo.</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privalo atskleisti asmens duomenis vykdydamas teisės aktuose nustatytas pareigas ar vykdant teisėtą kompetentingų teisminių ar valdžios institucijų nurodymą, su sąlyga, kad tokiu atveju apie tai nedelsiant bus informuojamas duomenų valdytojas;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užtikrinti, kad duomenų valdytojo asmens duomenis tvarkytų tik tam paskirti ir atitinkamai įgalioti asmenys; užtikrinti, kad visiems asmenims, kuriems buvo leista tvarkyti duomenų valdytojo asmens duomenis, būtų pranešta apie konfidencialų duomenų pobūdį, kad jie būtų tinkamai apmokyti pagal atliekamas pareigas, ir kad jie laikytųsi konfidencialumo pareigos;</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 vėliau kaip per 24 valandas informuoti Duomenų valdytoją raštu (įskaitant paštu, faksu, el. paštu) apie Sutarties ir taikomų duomenų apsaugos teisės aktų reikalavimų pažeidimus, gautus skundus dėl duomenų tvarkytojo padaryto asmens duomenų apsaugos reikalavimų pažeidimo ar bet kokius kitus sunkumus, kylančius tvarkant asmens duomenis; visus pažeidimus ištaisyti per kuo trumpesnį laiką, siekiant išvengti didesnės žalos atsiradimo; </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tvarkytojas suteiks galimybę ir sudarys sąlygas Duomenų valdytojui esant poreikiui, bet ne dažniau kaip vieną kartą per metus Šalių suderintu laiku Duomenų valdytojo sąskaita atlikti auditą, kuriuo siekiama patikrinti,  kaip vykdomi šioje Sutartyje numatyti reikalavimai. Tokio audito apimtis ir sudaromos sąlygos bus tokios:</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atsakymai į Duomenų valdytojo raštu pateiktus klausimus apie asmens duomenų tvarkymą; bei</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galimybė apklausti atitinkamą Duomenų tvarkytojo specialistą Duomenų tvarkytojo patalpose.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tvarkytojas patvirtina, kad jis netvarkys asmens duomenų didesniu mastu, nei būtina Sutarties, kurią sudarė Duomenų valdytojas ir duomenų tvarkytojas, vykdymui.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tvarkytojas įsipareigoja Duomenų valdytojui pateikti visą reikalingą informaciją (dokumentus ir paaiškinimus), kad būtų įvykdyta Duomenų valdytojui prievolė atsakyti į duomenų subjektų prašymus dėl jų asmens duomenų tvarkymo.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tvarkytojas prieš pasitelkdamas kitus duomenų tvarkytojus (subtvarkytojus) turi apie tai informuoti Duomenų valdytoją ir gauti jo raštišką sutikimą. Duomenų tvarkytojas užtikrina ir yra atsakingas už tai, kad Duomenų tvarkytojo pasitelkti kiti duomenų tvarkytojai (subtvarkytojai) laikytųsi Duomenų tvarkytojui keliamų reikalavimų, nurodytų šioje Sutartyje ir Duomenų valdytojo asmens duomenų apsaugą reglamentuojančiuose vidiniuose dokumentuose.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valdytojas turi teisę nedelsdamas sustabdyti tolimesnį duomenų perdavimą ir/ arba nutraukti Sutartį, jeigu Duomenų tvarkytojas nesilaiko duomenų tvarkymo reikalavimų, kuriuos numato ši Sutartis arba bet kokie taikytini teisės aktai.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valdytojas ir Duomenų tvarkytojas bendradarbiaus visais kilusiais duomenų apsaugos klausimais ir sieks kuo efektyvesnio Duomenų subjektų teisių užtikrinimo ir įgyvendinimo.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ŠALIŲ ATSAKOMYBĖ</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Šalys susitaria, kad bet koks duomenų subjektas, kuris patyrė žalą dėl to, kad buvo pažeisti bet kurios Šalies šia Sutartimi prisiimti įsipareigojimai, turi teisę reikalauti ir gauti sukeltos žalos atlyginimą ir su tuo susijusią kompensaciją iš tos Šalies, dėl kurios veiksmų ar neapdairumo buvo pažeistos duomenų subjekto teisės.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Šalys aiškiai susitaria, kad: </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valdytojas Sutartimi ar kitais būdais negali prisiimti atsakomybės, kuri pagal savo esmę bei pagal Reglamentą ar kitus teisės aktus yra priskiriama duomenų tvarkytojui; </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Duomenų tvarkytojui pagal Sutartį nepriskiriama atsakomybė, kuri pagal savo esmę bei pagal Reglamentą ar kitus teisės aktus yra priskiriama duomenų valdytojui.</w:t>
      </w:r>
    </w:p>
    <w:p w:rsidR="00000000" w:rsidDel="00000000" w:rsidP="00000000" w:rsidRDefault="00000000" w:rsidRPr="00000000" w14:paraId="0000004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FORCE MAJEURE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Šalys neatsako už bet kurios iš savo prievolių nevykdymą, jei įrodo, kad toks nevykdymas buvo sąlygotas aplinkybės, kurios jis negalėjo kontroliuoti, ir kad nebuvo galima jos numatyti arba išvengti ar įveikti tos aplinkybės ar jos pasekmių.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SUTARTIES GALIOJIMAS, PAKEITIMAS IR PASIBAIGIMAS</w:t>
      </w:r>
    </w:p>
    <w:p w:rsidR="00000000" w:rsidDel="00000000" w:rsidP="00000000" w:rsidRDefault="00000000" w:rsidRPr="00000000" w14:paraId="0000004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Sutartis įsigalioja įsigaliojus [</w:t>
      </w:r>
      <w:r w:rsidDel="00000000" w:rsidR="00000000" w:rsidRPr="00000000">
        <w:rPr>
          <w:rFonts w:ascii="Times New Roman" w:cs="Times New Roman" w:eastAsia="Times New Roman" w:hAnsi="Times New Roman"/>
          <w:i w:val="0"/>
          <w:smallCaps w:val="0"/>
          <w:strike w:val="0"/>
          <w:color w:val="000000"/>
          <w:sz w:val="24"/>
          <w:szCs w:val="24"/>
          <w:highlight w:val="yellow"/>
          <w:u w:val="none"/>
          <w:vertAlign w:val="baseline"/>
          <w:rtl w:val="0"/>
        </w:rPr>
        <w:t xml:space="preserve">nurodyti tikslų sutarties pavadinimą</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sutartį Nr.: ________ ir galioja iki jos pabaigos.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Ši Sutartis gali būti keičiama abipusiu raštišku Šalių susitarimu.</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Ši Sutartis gali būti nutraukta abipusiu raštišku Šalių susitarimu.</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BAIGIAMOSIOS NUOSTATOS</w:t>
      </w:r>
    </w:p>
    <w:p w:rsidR="00000000" w:rsidDel="00000000" w:rsidP="00000000" w:rsidRDefault="00000000" w:rsidRPr="00000000" w14:paraId="0000005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Šalys susitaria, kad bet koks ginčas ir (ar) reikalavimas, kylantis iš šios Sutarties ar susijęs su ja, ar kylantis iš šios Sutarties pažeidimo, nutraukimo ar negaliojimo, bus sprendžiamas derybomis. Neišsprendus ginčo derybomis, jis bus sprendžiamas Lietuvos Respublikos teismuose Lietuvos Respublikos įstatymų nustatyta tvarka.</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Sutartis sudaryta 2 egzemplioriais, turinčiais vienodą juridinę galią, po vieną egzempliorių kiekvienai Šaliai.</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Šalių parašai:</w:t>
      </w:r>
    </w:p>
    <w:tbl>
      <w:tblPr>
        <w:tblStyle w:val="Table1"/>
        <w:tblW w:w="9360.0" w:type="dxa"/>
        <w:jc w:val="left"/>
        <w:tblInd w:w="-115.0" w:type="dxa"/>
        <w:tblLayout w:type="fixed"/>
        <w:tblLook w:val="0400"/>
      </w:tblPr>
      <w:tblGrid>
        <w:gridCol w:w="4677"/>
        <w:gridCol w:w="4683"/>
        <w:tblGridChange w:id="0">
          <w:tblGrid>
            <w:gridCol w:w="4677"/>
            <w:gridCol w:w="4683"/>
          </w:tblGrid>
        </w:tblGridChange>
      </w:tblGrid>
      <w:tr>
        <w:trPr>
          <w:cantSplit w:val="0"/>
          <w:tblHeader w:val="0"/>
        </w:trPr>
        <w:tc>
          <w:tcPr>
            <w:shd w:fill="auto" w:val="clear"/>
          </w:tcPr>
          <w:p w:rsidR="00000000" w:rsidDel="00000000" w:rsidP="00000000" w:rsidRDefault="00000000" w:rsidRPr="00000000" w14:paraId="00000056">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Duomenų tvarkytojas:</w:t>
            </w:r>
          </w:p>
        </w:tc>
        <w:tc>
          <w:tcPr>
            <w:shd w:fill="auto" w:val="clear"/>
          </w:tcPr>
          <w:p w:rsidR="00000000" w:rsidDel="00000000" w:rsidP="00000000" w:rsidRDefault="00000000" w:rsidRPr="00000000" w14:paraId="00000057">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Duomenų valdytojas:</w:t>
            </w:r>
          </w:p>
        </w:tc>
      </w:tr>
      <w:tr>
        <w:trPr>
          <w:cantSplit w:val="0"/>
          <w:tblHeader w:val="0"/>
        </w:trPr>
        <w:tc>
          <w:tcPr>
            <w:shd w:fill="auto" w:val="clear"/>
          </w:tcPr>
          <w:p w:rsidR="00000000" w:rsidDel="00000000" w:rsidP="00000000" w:rsidRDefault="00000000" w:rsidRPr="00000000" w14:paraId="00000058">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UAB „X“</w:t>
            </w:r>
          </w:p>
        </w:tc>
        <w:tc>
          <w:tcPr>
            <w:shd w:fill="auto" w:val="clear"/>
          </w:tcPr>
          <w:p w:rsidR="00000000" w:rsidDel="00000000" w:rsidP="00000000" w:rsidRDefault="00000000" w:rsidRPr="00000000" w14:paraId="00000059">
            <w:pPr>
              <w:pageBreakBefore w:val="0"/>
              <w:tabs>
                <w:tab w:val="left" w:leader="none" w:pos="960"/>
                <w:tab w:val="left" w:leader="none" w:pos="993"/>
              </w:tabs>
              <w:spacing w:after="0" w:line="240" w:lineRule="auto"/>
              <w:ind w:left="0" w:firstLine="0"/>
              <w:jc w:val="both"/>
              <w:rPr>
                <w:rFonts w:ascii="Times New Roman" w:cs="Times New Roman" w:eastAsia="Times New Roman" w:hAnsi="Times New Roman"/>
                <w:b w:val="1"/>
                <w:sz w:val="24"/>
                <w:szCs w:val="24"/>
              </w:rPr>
            </w:pPr>
            <w:bookmarkStart w:colFirst="0" w:colLast="0" w:name="_3znysh7" w:id="3"/>
            <w:bookmarkEnd w:id="3"/>
            <w:r w:rsidDel="00000000" w:rsidR="00000000" w:rsidRPr="00000000">
              <w:rPr>
                <w:rFonts w:ascii="Times New Roman" w:cs="Times New Roman" w:eastAsia="Times New Roman" w:hAnsi="Times New Roman"/>
                <w:sz w:val="24"/>
                <w:szCs w:val="24"/>
                <w:rtl w:val="0"/>
              </w:rPr>
              <w:t xml:space="preserve">Vilniaus Antakalnio progimnazija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Juridinio asmens kodas: </w:t>
            </w:r>
          </w:p>
        </w:tc>
        <w:tc>
          <w:tcPr>
            <w:shd w:fill="auto" w:val="clear"/>
          </w:tcPr>
          <w:p w:rsidR="00000000" w:rsidDel="00000000" w:rsidP="00000000" w:rsidRDefault="00000000" w:rsidRPr="00000000" w14:paraId="0000005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Juridinio asmens kodas: 302818006</w:t>
            </w:r>
          </w:p>
        </w:tc>
      </w:tr>
      <w:tr>
        <w:trPr>
          <w:cantSplit w:val="0"/>
          <w:tblHeader w:val="0"/>
        </w:trPr>
        <w:tc>
          <w:tcPr>
            <w:shd w:fill="auto" w:val="clear"/>
          </w:tcPr>
          <w:p w:rsidR="00000000" w:rsidDel="00000000" w:rsidP="00000000" w:rsidRDefault="00000000" w:rsidRPr="00000000" w14:paraId="0000005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Adresas: </w:t>
            </w:r>
          </w:p>
        </w:tc>
        <w:tc>
          <w:tcPr>
            <w:shd w:fill="auto" w:val="clear"/>
          </w:tcPr>
          <w:p w:rsidR="00000000" w:rsidDel="00000000" w:rsidP="00000000" w:rsidRDefault="00000000" w:rsidRPr="00000000" w14:paraId="0000005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Adresas: Antakalnio g. 33, LT-10312 Vilnius</w:t>
            </w:r>
          </w:p>
        </w:tc>
      </w:tr>
      <w:tr>
        <w:trPr>
          <w:cantSplit w:val="0"/>
          <w:tblHeader w:val="0"/>
        </w:trPr>
        <w:tc>
          <w:tcPr>
            <w:shd w:fill="auto" w:val="clear"/>
          </w:tcPr>
          <w:p w:rsidR="00000000" w:rsidDel="00000000" w:rsidP="00000000" w:rsidRDefault="00000000" w:rsidRPr="00000000" w14:paraId="0000005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w:t>
            </w:r>
          </w:p>
          <w:p w:rsidR="00000000" w:rsidDel="00000000" w:rsidP="00000000" w:rsidRDefault="00000000" w:rsidRPr="00000000" w14:paraId="0000005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paštas - </w:t>
            </w:r>
          </w:p>
        </w:tc>
        <w:tc>
          <w:tcPr>
            <w:shd w:fill="auto" w:val="clear"/>
          </w:tcPr>
          <w:p w:rsidR="00000000" w:rsidDel="00000000" w:rsidP="00000000" w:rsidRDefault="00000000" w:rsidRPr="00000000" w14:paraId="0000006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8 659 00 612</w:t>
            </w:r>
          </w:p>
          <w:p w:rsidR="00000000" w:rsidDel="00000000" w:rsidP="00000000" w:rsidRDefault="00000000" w:rsidRPr="00000000" w14:paraId="0000006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paštas - </w:t>
            </w:r>
            <w:hyperlink r:id="rId8">
              <w:r w:rsidDel="00000000" w:rsidR="00000000" w:rsidRPr="00000000">
                <w:rPr>
                  <w:rFonts w:ascii="Times New Roman" w:cs="Times New Roman" w:eastAsia="Times New Roman" w:hAnsi="Times New Roman"/>
                  <w:color w:val="1155cc"/>
                  <w:sz w:val="24"/>
                  <w:szCs w:val="24"/>
                  <w:u w:val="single"/>
                  <w:rtl w:val="0"/>
                </w:rPr>
                <w:t xml:space="preserve">rastine@antakalnio.lt</w:t>
              </w:r>
            </w:hyperlink>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w:t>
            </w:r>
          </w:p>
        </w:tc>
        <w:tc>
          <w:tcPr>
            <w:shd w:fill="auto" w:val="clear"/>
          </w:tcPr>
          <w:p w:rsidR="00000000" w:rsidDel="00000000" w:rsidP="00000000" w:rsidRDefault="00000000" w:rsidRPr="00000000" w14:paraId="0000006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Tomas Jankūnas</w:t>
            </w:r>
          </w:p>
        </w:tc>
      </w:tr>
      <w:tr>
        <w:trPr>
          <w:cantSplit w:val="0"/>
          <w:tblHeader w:val="0"/>
        </w:trPr>
        <w:tc>
          <w:tcPr>
            <w:shd w:fill="auto" w:val="clear"/>
          </w:tcPr>
          <w:p w:rsidR="00000000" w:rsidDel="00000000" w:rsidP="00000000" w:rsidRDefault="00000000" w:rsidRPr="00000000" w14:paraId="00000066">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067">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6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footerReference r:id="rId9" w:type="default"/>
          <w:pgSz w:h="15840" w:w="12240" w:orient="portrait"/>
          <w:pgMar w:bottom="1440" w:top="1440" w:left="1440" w:right="595.2755905511822"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6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Asmens duomenų tvarkymo sutarties Priedas Nr. 1 Duomenų tvarkytojo Duomenų valdytojui teikiamoms paslaugoms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nurodyti, kokioms paslaugoms, pvz.: serverių ir kompiuterių priežiūros paslaugoms, telefonijos paslaugoms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pageBreakBefore w:val="0"/>
        <w:spacing w:after="0" w:line="240" w:lineRule="auto"/>
        <w:ind w:right="5.669291338583093"/>
        <w:jc w:val="left"/>
        <w:rPr>
          <w:rFonts w:ascii="Times New Roman" w:cs="Times New Roman" w:eastAsia="Times New Roman" w:hAnsi="Times New Roman"/>
          <w:b w:val="1"/>
          <w:sz w:val="24"/>
          <w:szCs w:val="24"/>
        </w:rPr>
      </w:pP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5400"/>
        <w:tblGridChange w:id="0">
          <w:tblGrid>
            <w:gridCol w:w="4680"/>
            <w:gridCol w:w="5400"/>
          </w:tblGrid>
        </w:tblGridChange>
      </w:tblGrid>
      <w:tr>
        <w:trPr>
          <w:cantSplit w:val="0"/>
          <w:tblHeader w:val="0"/>
        </w:trPr>
        <w:tc>
          <w:tcPr/>
          <w:p w:rsidR="00000000" w:rsidDel="00000000" w:rsidP="00000000" w:rsidRDefault="00000000" w:rsidRPr="00000000" w14:paraId="0000006E">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Duomenų tvarkymo dalykas ir tikslas</w:t>
            </w:r>
          </w:p>
        </w:tc>
        <w:tc>
          <w:tcPr/>
          <w:p w:rsidR="00000000" w:rsidDel="00000000" w:rsidP="00000000" w:rsidRDefault="00000000" w:rsidRPr="00000000" w14:paraId="0000006F">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Duomenų tvarkytojo paslaugų ([nurodyti, kokių, pvz.: serverių ir kompiuterių priežiūros paslaugoms, telefonijos paslaugoms]) teikimas</w:t>
            </w:r>
          </w:p>
        </w:tc>
      </w:tr>
      <w:tr>
        <w:trPr>
          <w:cantSplit w:val="0"/>
          <w:tblHeader w:val="0"/>
        </w:trPr>
        <w:tc>
          <w:tcPr/>
          <w:p w:rsidR="00000000" w:rsidDel="00000000" w:rsidP="00000000" w:rsidRDefault="00000000" w:rsidRPr="00000000" w14:paraId="00000070">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Tvarkomi asmens duomenys</w:t>
            </w:r>
          </w:p>
        </w:tc>
        <w:tc>
          <w:tcPr/>
          <w:p w:rsidR="00000000" w:rsidDel="00000000" w:rsidP="00000000" w:rsidRDefault="00000000" w:rsidRPr="00000000" w14:paraId="00000071">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Tvarkomi asmens duomenys apima:</w:t>
            </w:r>
          </w:p>
          <w:p w:rsidR="00000000" w:rsidDel="00000000" w:rsidP="00000000" w:rsidRDefault="00000000" w:rsidRPr="00000000" w14:paraId="00000072">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[išvardinti kokie asmens duomenys tvarkomi]</w:t>
            </w:r>
          </w:p>
        </w:tc>
      </w:tr>
      <w:tr>
        <w:trPr>
          <w:cantSplit w:val="0"/>
          <w:tblHeader w:val="0"/>
        </w:trPr>
        <w:tc>
          <w:tcPr/>
          <w:p w:rsidR="00000000" w:rsidDel="00000000" w:rsidP="00000000" w:rsidRDefault="00000000" w:rsidRPr="00000000" w14:paraId="00000073">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Duomenų subjektų kategorijos</w:t>
            </w:r>
          </w:p>
        </w:tc>
        <w:tc>
          <w:tcPr/>
          <w:p w:rsidR="00000000" w:rsidDel="00000000" w:rsidP="00000000" w:rsidRDefault="00000000" w:rsidRPr="00000000" w14:paraId="00000074">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Duomenų valdytojo darbuotojai, kandidatai į darbuotojus, praktikantai, mokiniai, jų tėvai (tėvų pareigų turėtojai) [jeigu reikia, papildyti]</w:t>
            </w:r>
          </w:p>
        </w:tc>
      </w:tr>
      <w:tr>
        <w:trPr>
          <w:cantSplit w:val="0"/>
          <w:tblHeader w:val="0"/>
        </w:trPr>
        <w:tc>
          <w:tcPr/>
          <w:p w:rsidR="00000000" w:rsidDel="00000000" w:rsidP="00000000" w:rsidRDefault="00000000" w:rsidRPr="00000000" w14:paraId="00000075">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Duomenų tvarkymo veikla</w:t>
            </w:r>
          </w:p>
        </w:tc>
        <w:tc>
          <w:tcPr/>
          <w:p w:rsidR="00000000" w:rsidDel="00000000" w:rsidP="00000000" w:rsidRDefault="00000000" w:rsidRPr="00000000" w14:paraId="00000076">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[nurodyti, kokius konkrečius veiksmus atlieka tvarkytojas su asmens duomenimis, pvz.: serverių priežiūra, duomenų rezervinių kopijų darymas ir pan.] </w:t>
            </w:r>
          </w:p>
        </w:tc>
      </w:tr>
      <w:tr>
        <w:trPr>
          <w:cantSplit w:val="0"/>
          <w:tblHeader w:val="0"/>
        </w:trPr>
        <w:tc>
          <w:tcPr/>
          <w:p w:rsidR="00000000" w:rsidDel="00000000" w:rsidP="00000000" w:rsidRDefault="00000000" w:rsidRPr="00000000" w14:paraId="00000077">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Duomenų tvarkytojo pasitelkti kiti duomenų tvarkytojai (subtvarkytojai)</w:t>
            </w:r>
          </w:p>
        </w:tc>
        <w:tc>
          <w:tcPr/>
          <w:p w:rsidR="00000000" w:rsidDel="00000000" w:rsidP="00000000" w:rsidRDefault="00000000" w:rsidRPr="00000000" w14:paraId="00000078">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Nėra [jeigu yra, nurodyti]</w:t>
            </w:r>
          </w:p>
        </w:tc>
      </w:tr>
      <w:tr>
        <w:trPr>
          <w:cantSplit w:val="0"/>
          <w:tblHeader w:val="0"/>
        </w:trPr>
        <w:tc>
          <w:tcPr/>
          <w:p w:rsidR="00000000" w:rsidDel="00000000" w:rsidP="00000000" w:rsidRDefault="00000000" w:rsidRPr="00000000" w14:paraId="00000079">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Valstybė, kurioje saugomi asmens duomenys</w:t>
            </w:r>
          </w:p>
        </w:tc>
        <w:tc>
          <w:tcPr/>
          <w:p w:rsidR="00000000" w:rsidDel="00000000" w:rsidP="00000000" w:rsidRDefault="00000000" w:rsidRPr="00000000" w14:paraId="0000007A">
            <w:pPr>
              <w:pageBreakBefore w:val="0"/>
              <w:spacing w:after="0" w:line="240" w:lineRule="auto"/>
              <w:ind w:right="5.6692913385830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Respublika</w:t>
            </w:r>
          </w:p>
        </w:tc>
      </w:tr>
    </w:tbl>
    <w:p w:rsidR="00000000" w:rsidDel="00000000" w:rsidP="00000000" w:rsidRDefault="00000000" w:rsidRPr="00000000" w14:paraId="0000007B">
      <w:pPr>
        <w:pageBreakBefore w:val="0"/>
        <w:spacing w:after="0" w:line="240" w:lineRule="auto"/>
        <w:ind w:right="5.669291338583093"/>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sectPr>
      <w:type w:val="continuous"/>
      <w:pgSz w:h="15840" w:w="12240" w:orient="portrait"/>
      <w:pgMar w:bottom="1440" w:top="1440" w:left="1440" w:right="595.2755905511822"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1200" w:hanging="48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t-L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astine@antakalnio.lt" TargetMode="External"/><Relationship Id="rId7" Type="http://schemas.openxmlformats.org/officeDocument/2006/relationships/hyperlink" Target="mailto:ada@antakalnio.lt" TargetMode="External"/><Relationship Id="rId8" Type="http://schemas.openxmlformats.org/officeDocument/2006/relationships/hyperlink" Target="mailto:rastine@antakalnio.l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